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9402" w14:textId="77777777" w:rsidR="00311BBD" w:rsidRDefault="00311BB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D34E1A" w14:paraId="2E11EC58" w14:textId="77777777" w:rsidTr="001E4FC9">
        <w:trPr>
          <w:trHeight w:val="1387"/>
        </w:trPr>
        <w:tc>
          <w:tcPr>
            <w:tcW w:w="3495" w:type="dxa"/>
          </w:tcPr>
          <w:p w14:paraId="14F1BC4A" w14:textId="77777777" w:rsidR="00D34E1A" w:rsidRDefault="00A0774A" w:rsidP="00181978">
            <w:pPr>
              <w:spacing w:before="12"/>
              <w:rPr>
                <w:lang w:val="ru-RU"/>
              </w:rPr>
            </w:pPr>
            <w:r w:rsidRPr="00A0774A">
              <w:rPr>
                <w:lang w:val="ru-RU"/>
              </w:rPr>
              <w:t xml:space="preserve">    </w:t>
            </w:r>
            <w:r w:rsidR="00C0365C" w:rsidRPr="00A0774A">
              <w:rPr>
                <w:lang w:val="ru-RU"/>
              </w:rPr>
              <w:br w:type="column"/>
            </w:r>
            <w:r w:rsidR="00D34E1A" w:rsidRPr="00A0774A">
              <w:rPr>
                <w:rFonts w:ascii="Calibri" w:hAnsi="Calibri"/>
                <w:noProof/>
                <w:spacing w:val="-1"/>
                <w:sz w:val="28"/>
                <w:lang w:val="uk-UA" w:eastAsia="uk-UA"/>
              </w:rPr>
              <w:drawing>
                <wp:anchor distT="0" distB="0" distL="114300" distR="114300" simplePos="0" relativeHeight="251604480" behindDoc="0" locked="0" layoutInCell="1" allowOverlap="1" wp14:anchorId="4E537BF7" wp14:editId="73C7964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39370</wp:posOffset>
                  </wp:positionV>
                  <wp:extent cx="1097280" cy="606425"/>
                  <wp:effectExtent l="0" t="0" r="7620" b="3175"/>
                  <wp:wrapSquare wrapText="bothSides"/>
                  <wp:docPr id="1" name="Рисунок 1" descr="E:\WORK\Work_2020\Promin\Sikorsky_2021\SCU_ua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ORK\Work_2020\Promin\Sikorsky_2021\SCU_ua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5" w:type="dxa"/>
          </w:tcPr>
          <w:p w14:paraId="18D116E3" w14:textId="77777777" w:rsidR="00D34E1A" w:rsidRDefault="00D76684" w:rsidP="00181978">
            <w:pPr>
              <w:spacing w:before="12"/>
              <w:rPr>
                <w:lang w:val="ru-RU"/>
              </w:rPr>
            </w:pPr>
            <w:r w:rsidRPr="00A0774A">
              <w:rPr>
                <w:noProof/>
                <w:lang w:val="uk-UA" w:eastAsia="uk-UA"/>
              </w:rPr>
              <w:drawing>
                <wp:anchor distT="0" distB="0" distL="114300" distR="114300" simplePos="0" relativeHeight="251611648" behindDoc="0" locked="0" layoutInCell="1" allowOverlap="1" wp14:anchorId="4ADE3DE6" wp14:editId="4AF97B4B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0</wp:posOffset>
                  </wp:positionV>
                  <wp:extent cx="830580" cy="830580"/>
                  <wp:effectExtent l="0" t="0" r="7620" b="7620"/>
                  <wp:wrapSquare wrapText="bothSides"/>
                  <wp:docPr id="4" name="Рисунок 4" descr="E:\WORK\Work_2020\Promin\Sikorsky_2021\kpi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\Work_2020\Promin\Sikorsky_2021\kpi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3496" w:type="dxa"/>
          </w:tcPr>
          <w:p w14:paraId="2867B831" w14:textId="41F412CE" w:rsidR="00D34E1A" w:rsidRPr="001E4FC9" w:rsidRDefault="00D76684" w:rsidP="001E4FC9">
            <w:pPr>
              <w:spacing w:before="240"/>
              <w:rPr>
                <w:sz w:val="56"/>
                <w:szCs w:val="56"/>
                <w:lang w:val="ru-RU"/>
              </w:rPr>
            </w:pPr>
            <w:r>
              <w:rPr>
                <w:rFonts w:ascii="Calibri" w:eastAsia="Calibri" w:hAnsi="Calibri" w:cs="Calibri"/>
                <w:sz w:val="96"/>
                <w:szCs w:val="96"/>
                <w:lang w:val="ru-RU"/>
              </w:rPr>
              <w:t xml:space="preserve">  </w:t>
            </w:r>
            <w:r w:rsidR="00D34E1A" w:rsidRPr="001E4FC9">
              <w:rPr>
                <w:rFonts w:ascii="Bookman Old Style" w:hAnsi="Bookman Old Style" w:cs="Times New Roman"/>
                <w:b/>
                <w:sz w:val="56"/>
                <w:szCs w:val="56"/>
                <w:lang w:val="ru-RU"/>
              </w:rPr>
              <w:t>№ 92</w:t>
            </w:r>
          </w:p>
        </w:tc>
      </w:tr>
    </w:tbl>
    <w:p w14:paraId="00A4BCD2" w14:textId="77777777" w:rsidR="00FD2C21" w:rsidRPr="008A56D4" w:rsidRDefault="00FD2C21" w:rsidP="00556624">
      <w:pPr>
        <w:ind w:left="618"/>
        <w:jc w:val="center"/>
        <w:rPr>
          <w:rFonts w:cs="Times New Roman"/>
          <w:b/>
          <w:sz w:val="18"/>
          <w:szCs w:val="18"/>
          <w:lang w:val="ru-RU"/>
        </w:rPr>
      </w:pPr>
    </w:p>
    <w:p w14:paraId="4AEC7764" w14:textId="77777777" w:rsidR="004619B0" w:rsidRPr="006A3040" w:rsidRDefault="00A0774A" w:rsidP="001E4FC9">
      <w:pPr>
        <w:ind w:left="618"/>
        <w:jc w:val="center"/>
        <w:rPr>
          <w:rFonts w:ascii="Bookman Old Style" w:hAnsi="Bookman Old Style" w:cs="Times New Roman"/>
          <w:b/>
          <w:sz w:val="48"/>
          <w:szCs w:val="48"/>
          <w:lang w:val="ru-RU"/>
        </w:rPr>
      </w:pPr>
      <w:r w:rsidRPr="001E4FC9">
        <w:rPr>
          <w:b/>
          <w:sz w:val="48"/>
          <w:szCs w:val="32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Мобільний оптико-електронний комплекс виявлення безпілотних літальних апаратів</w:t>
      </w:r>
    </w:p>
    <w:p w14:paraId="6CAD0C85" w14:textId="77777777" w:rsidR="00556624" w:rsidRPr="008A56D4" w:rsidRDefault="00556624" w:rsidP="001E4FC9">
      <w:pPr>
        <w:ind w:left="618"/>
        <w:jc w:val="center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a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3B59BA" w:rsidRPr="001E4FC9" w14:paraId="53103ADA" w14:textId="77777777" w:rsidTr="001E4FC9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8A24D95" w14:textId="77777777" w:rsidR="00AD3B58" w:rsidRDefault="00AD3B58" w:rsidP="001E4FC9">
            <w:pPr>
              <w:ind w:left="176"/>
              <w:jc w:val="both"/>
              <w:rPr>
                <w:b/>
                <w:color w:val="4BACC6" w:themeColor="accent5"/>
                <w:sz w:val="56"/>
                <w:szCs w:val="56"/>
                <w:lang w:val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ПРОБЛЕМА</w:t>
            </w:r>
            <w:r w:rsidRPr="001E4FC9">
              <w:rPr>
                <w:b/>
                <w:color w:val="0070C0"/>
                <w:sz w:val="56"/>
                <w:szCs w:val="56"/>
                <w:lang w:val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полягає в с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кладн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о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ст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і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виявлення безпілотних літальних апаратів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, які працюють в пасивному режимі,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традиційними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(радіолокаційними, тепловізійними)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методами</w:t>
            </w:r>
            <w:r w:rsidRPr="001E4FC9">
              <w:rPr>
                <w:b/>
                <w:color w:val="4BACC6" w:themeColor="accent5"/>
                <w:sz w:val="56"/>
                <w:szCs w:val="56"/>
                <w:lang w:val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ADB5CDD" w14:textId="77777777" w:rsidR="001E4FC9" w:rsidRPr="001E4FC9" w:rsidRDefault="001E4FC9" w:rsidP="001E4FC9">
            <w:pPr>
              <w:ind w:left="176"/>
              <w:jc w:val="both"/>
              <w:rPr>
                <w:b/>
                <w:color w:val="4BACC6" w:themeColor="accent5"/>
                <w:sz w:val="20"/>
                <w:szCs w:val="20"/>
                <w:lang w:val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DC236CF" w14:textId="4EBD9910" w:rsidR="00AD3B58" w:rsidRPr="001E4FC9" w:rsidRDefault="00AD3B58" w:rsidP="009C542A">
            <w:pPr>
              <w:ind w:left="176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РІШЕННЯ</w:t>
            </w: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</w:t>
            </w:r>
            <w:r w:rsidRPr="001E4FC9">
              <w:rPr>
                <w:b/>
                <w:color w:val="4BACC6" w:themeColor="accent5"/>
                <w:sz w:val="56"/>
                <w:szCs w:val="56"/>
                <w:lang w:val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є в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икористання поляризаційних властивостей оптичного випромінювання як демаскуючої ознаки</w:t>
            </w:r>
          </w:p>
          <w:p w14:paraId="6E919A97" w14:textId="5EAFFF56" w:rsidR="00D50B3E" w:rsidRPr="001E4FC9" w:rsidRDefault="00D50B3E" w:rsidP="001E4FC9">
            <w:pPr>
              <w:ind w:left="176" w:hanging="142"/>
              <w:rPr>
                <w:sz w:val="20"/>
                <w:szCs w:val="20"/>
                <w:lang w:val="ru-RU"/>
              </w:rPr>
            </w:pPr>
          </w:p>
          <w:p w14:paraId="62E4948E" w14:textId="693CC097" w:rsidR="003B59BA" w:rsidRPr="001E4FC9" w:rsidRDefault="003B59BA" w:rsidP="001E4FC9">
            <w:pPr>
              <w:ind w:left="176"/>
              <w:rPr>
                <w:b/>
                <w:color w:val="4BACC6" w:themeColor="accent5"/>
                <w:sz w:val="56"/>
                <w:szCs w:val="56"/>
                <w:lang w:val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ПЕРЕВАГИ</w:t>
            </w:r>
            <w:r w:rsidR="00DC3D6E" w:rsidRPr="001E4FC9">
              <w:rPr>
                <w:b/>
                <w:color w:val="4BACC6" w:themeColor="accent5"/>
                <w:sz w:val="56"/>
                <w:szCs w:val="56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DC3D6E" w:rsidRPr="001E4FC9">
              <w:rPr>
                <w:sz w:val="30"/>
                <w:szCs w:val="30"/>
                <w:lang w:val="ru-RU"/>
              </w:rPr>
              <w:t>технічного рішення поляга</w:t>
            </w:r>
            <w:r w:rsidR="00DC3D6E" w:rsidRPr="001E4FC9">
              <w:rPr>
                <w:sz w:val="30"/>
                <w:szCs w:val="30"/>
                <w:lang w:val="ru-RU"/>
              </w:rPr>
              <w:t>ють</w:t>
            </w:r>
            <w:r w:rsidR="00DC3D6E" w:rsidRPr="001E4FC9">
              <w:rPr>
                <w:sz w:val="30"/>
                <w:szCs w:val="30"/>
                <w:lang w:val="ru-RU"/>
              </w:rPr>
              <w:t xml:space="preserve"> в</w:t>
            </w:r>
            <w:r w:rsidR="00DC3D6E" w:rsidRPr="001E4FC9">
              <w:rPr>
                <w:sz w:val="30"/>
                <w:szCs w:val="30"/>
                <w:lang w:val="ru-RU"/>
              </w:rPr>
              <w:t>:</w:t>
            </w:r>
            <w:bookmarkStart w:id="0" w:name="_GoBack"/>
            <w:bookmarkEnd w:id="0"/>
          </w:p>
          <w:p w14:paraId="7623F59B" w14:textId="733B674D" w:rsidR="003B59BA" w:rsidRPr="001E4FC9" w:rsidRDefault="006C3260" w:rsidP="001E4FC9">
            <w:pPr>
              <w:ind w:left="176"/>
              <w:rPr>
                <w:sz w:val="30"/>
                <w:szCs w:val="30"/>
                <w:lang w:val="ru-RU"/>
              </w:rPr>
            </w:pPr>
            <w:r w:rsidRPr="001E4FC9">
              <w:rPr>
                <w:sz w:val="30"/>
                <w:szCs w:val="30"/>
                <w:lang w:val="ru-RU"/>
              </w:rPr>
              <w:t>- підвищенн</w:t>
            </w:r>
            <w:r w:rsidR="00DC3D6E" w:rsidRPr="001E4FC9">
              <w:rPr>
                <w:sz w:val="30"/>
                <w:szCs w:val="30"/>
                <w:lang w:val="ru-RU"/>
              </w:rPr>
              <w:t>і</w:t>
            </w:r>
            <w:r w:rsidRPr="001E4FC9">
              <w:rPr>
                <w:sz w:val="30"/>
                <w:szCs w:val="30"/>
                <w:lang w:val="ru-RU"/>
              </w:rPr>
              <w:t xml:space="preserve"> ймовірності виявлення на великих </w:t>
            </w:r>
            <w:r w:rsidR="00FE2ABB" w:rsidRPr="001E4FC9">
              <w:rPr>
                <w:sz w:val="30"/>
                <w:szCs w:val="30"/>
                <w:lang w:val="ru-RU"/>
              </w:rPr>
              <w:t>дальностях</w:t>
            </w:r>
            <w:r w:rsidR="00DC3D6E" w:rsidRPr="001E4FC9">
              <w:rPr>
                <w:sz w:val="30"/>
                <w:szCs w:val="30"/>
                <w:lang w:val="ru-RU"/>
              </w:rPr>
              <w:t>;</w:t>
            </w:r>
          </w:p>
          <w:p w14:paraId="5C923C55" w14:textId="71FD6882" w:rsidR="006C3260" w:rsidRPr="001E4FC9" w:rsidRDefault="006C3260" w:rsidP="001E4FC9">
            <w:pPr>
              <w:ind w:left="176"/>
              <w:rPr>
                <w:sz w:val="30"/>
                <w:szCs w:val="30"/>
                <w:lang w:val="ru-RU"/>
              </w:rPr>
            </w:pPr>
            <w:r w:rsidRPr="001E4FC9">
              <w:rPr>
                <w:sz w:val="30"/>
                <w:szCs w:val="30"/>
                <w:lang w:val="ru-RU"/>
              </w:rPr>
              <w:t>- можлив</w:t>
            </w:r>
            <w:r w:rsidR="00DC3D6E" w:rsidRPr="001E4FC9">
              <w:rPr>
                <w:sz w:val="30"/>
                <w:szCs w:val="30"/>
                <w:lang w:val="ru-RU"/>
              </w:rPr>
              <w:t>о</w:t>
            </w:r>
            <w:r w:rsidRPr="001E4FC9">
              <w:rPr>
                <w:sz w:val="30"/>
                <w:szCs w:val="30"/>
                <w:lang w:val="ru-RU"/>
              </w:rPr>
              <w:t>ст</w:t>
            </w:r>
            <w:r w:rsidR="00DC3D6E" w:rsidRPr="001E4FC9">
              <w:rPr>
                <w:sz w:val="30"/>
                <w:szCs w:val="30"/>
                <w:lang w:val="ru-RU"/>
              </w:rPr>
              <w:t>і</w:t>
            </w:r>
            <w:r w:rsidRPr="001E4FC9">
              <w:rPr>
                <w:sz w:val="30"/>
                <w:szCs w:val="30"/>
                <w:lang w:val="ru-RU"/>
              </w:rPr>
              <w:t xml:space="preserve"> виявлення цілей, що не випромінюють радіосигналу</w:t>
            </w:r>
            <w:r w:rsidR="00DC3D6E" w:rsidRPr="001E4FC9">
              <w:rPr>
                <w:sz w:val="30"/>
                <w:szCs w:val="30"/>
                <w:lang w:val="ru-RU"/>
              </w:rPr>
              <w:t>;</w:t>
            </w:r>
          </w:p>
          <w:p w14:paraId="712180FC" w14:textId="47C38510" w:rsidR="006C3260" w:rsidRPr="001E4FC9" w:rsidRDefault="006C3260" w:rsidP="001E4FC9">
            <w:pPr>
              <w:ind w:left="176"/>
              <w:rPr>
                <w:sz w:val="30"/>
                <w:szCs w:val="30"/>
                <w:lang w:val="ru-RU"/>
              </w:rPr>
            </w:pPr>
            <w:r w:rsidRPr="001E4FC9">
              <w:rPr>
                <w:sz w:val="30"/>
                <w:szCs w:val="30"/>
                <w:lang w:val="ru-RU"/>
              </w:rPr>
              <w:t>- скритн</w:t>
            </w:r>
            <w:r w:rsidR="00DC3D6E" w:rsidRPr="001E4FC9">
              <w:rPr>
                <w:sz w:val="30"/>
                <w:szCs w:val="30"/>
                <w:lang w:val="ru-RU"/>
              </w:rPr>
              <w:t>о</w:t>
            </w:r>
            <w:r w:rsidRPr="001E4FC9">
              <w:rPr>
                <w:sz w:val="30"/>
                <w:szCs w:val="30"/>
                <w:lang w:val="ru-RU"/>
              </w:rPr>
              <w:t>ст</w:t>
            </w:r>
            <w:r w:rsidR="00DC3D6E" w:rsidRPr="001E4FC9">
              <w:rPr>
                <w:sz w:val="30"/>
                <w:szCs w:val="30"/>
                <w:lang w:val="ru-RU"/>
              </w:rPr>
              <w:t>і</w:t>
            </w:r>
            <w:r w:rsidRPr="001E4FC9">
              <w:rPr>
                <w:sz w:val="30"/>
                <w:szCs w:val="30"/>
                <w:lang w:val="ru-RU"/>
              </w:rPr>
              <w:t xml:space="preserve"> спостереження</w:t>
            </w:r>
            <w:r w:rsidR="00DC3D6E" w:rsidRPr="001E4FC9">
              <w:rPr>
                <w:sz w:val="30"/>
                <w:szCs w:val="30"/>
                <w:lang w:val="ru-RU"/>
              </w:rPr>
              <w:t>;</w:t>
            </w:r>
          </w:p>
          <w:p w14:paraId="2D5E4A45" w14:textId="2AD9E60D" w:rsidR="00577E40" w:rsidRPr="001E4FC9" w:rsidRDefault="00577E40" w:rsidP="001E4FC9">
            <w:pPr>
              <w:ind w:left="176"/>
              <w:rPr>
                <w:sz w:val="30"/>
                <w:szCs w:val="30"/>
                <w:lang w:val="ru-RU"/>
              </w:rPr>
            </w:pPr>
            <w:r w:rsidRPr="001E4FC9">
              <w:rPr>
                <w:sz w:val="30"/>
                <w:szCs w:val="30"/>
                <w:lang w:val="ru-RU"/>
              </w:rPr>
              <w:t>- гнучк</w:t>
            </w:r>
            <w:r w:rsidR="00DC3D6E" w:rsidRPr="001E4FC9">
              <w:rPr>
                <w:sz w:val="30"/>
                <w:szCs w:val="30"/>
                <w:lang w:val="ru-RU"/>
              </w:rPr>
              <w:t>о</w:t>
            </w:r>
            <w:r w:rsidRPr="001E4FC9">
              <w:rPr>
                <w:sz w:val="30"/>
                <w:szCs w:val="30"/>
                <w:lang w:val="ru-RU"/>
              </w:rPr>
              <w:t>ст</w:t>
            </w:r>
            <w:r w:rsidR="00DC3D6E" w:rsidRPr="001E4FC9">
              <w:rPr>
                <w:sz w:val="30"/>
                <w:szCs w:val="30"/>
                <w:lang w:val="ru-RU"/>
              </w:rPr>
              <w:t>і</w:t>
            </w:r>
            <w:r w:rsidRPr="001E4FC9">
              <w:rPr>
                <w:sz w:val="30"/>
                <w:szCs w:val="30"/>
                <w:lang w:val="ru-RU"/>
              </w:rPr>
              <w:t xml:space="preserve"> технології, можлив</w:t>
            </w:r>
            <w:r w:rsidR="00DC3D6E" w:rsidRPr="001E4FC9">
              <w:rPr>
                <w:sz w:val="30"/>
                <w:szCs w:val="30"/>
                <w:lang w:val="ru-RU"/>
              </w:rPr>
              <w:t>о</w:t>
            </w:r>
            <w:r w:rsidRPr="001E4FC9">
              <w:rPr>
                <w:sz w:val="30"/>
                <w:szCs w:val="30"/>
                <w:lang w:val="ru-RU"/>
              </w:rPr>
              <w:t>ст</w:t>
            </w:r>
            <w:r w:rsidR="00DC3D6E" w:rsidRPr="001E4FC9">
              <w:rPr>
                <w:sz w:val="30"/>
                <w:szCs w:val="30"/>
                <w:lang w:val="ru-RU"/>
              </w:rPr>
              <w:t>і</w:t>
            </w:r>
            <w:r w:rsidRPr="001E4FC9">
              <w:rPr>
                <w:sz w:val="30"/>
                <w:szCs w:val="30"/>
                <w:lang w:val="ru-RU"/>
              </w:rPr>
              <w:t xml:space="preserve"> комплексування з іншими методами виявлення</w:t>
            </w:r>
            <w:r w:rsidR="00DC3D6E" w:rsidRPr="001E4FC9">
              <w:rPr>
                <w:sz w:val="30"/>
                <w:szCs w:val="30"/>
                <w:lang w:val="ru-RU"/>
              </w:rPr>
              <w:t>.</w:t>
            </w:r>
          </w:p>
          <w:p w14:paraId="15540353" w14:textId="77777777" w:rsidR="007B1137" w:rsidRPr="001E4FC9" w:rsidRDefault="007B1137" w:rsidP="001E4FC9">
            <w:pPr>
              <w:ind w:left="176"/>
              <w:rPr>
                <w:sz w:val="20"/>
                <w:szCs w:val="20"/>
                <w:lang w:val="ru-RU"/>
              </w:rPr>
            </w:pPr>
          </w:p>
        </w:tc>
      </w:tr>
      <w:tr w:rsidR="006C3260" w:rsidRPr="00AD3B58" w14:paraId="48AD793F" w14:textId="77777777" w:rsidTr="001E4FC9">
        <w:trPr>
          <w:trHeight w:val="120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B2F9B8E" w14:textId="3BB52AF5" w:rsidR="00DC3D6E" w:rsidRDefault="00DC3D6E" w:rsidP="001E4FC9">
            <w:pPr>
              <w:ind w:left="176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Можливі різні конфігурації апаратури – як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варіанти переносного конструктивного виконання,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так і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встановлення на штатив або на автомобіль.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Типовий мінімальний с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клад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комплексу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: телевізійна камера із об’єктивом із змінним збільшенням, тепловізійна камера з аналізатором поляризації, блок обробки відеосигналу, комп’ютер із спеціалізованим програмним забезпеченням, монітор, блок живлення, корпус.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Робота комплексу полягає в паралельному спостереженні частини неба через телевізійний та тепловізійний канали. Основним для виявлення є тепловізійний канал, причому головною демаскуючою ознакою є поляризаційний контраст невеликого об’єкта на рівномірному фоні неба.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Можливе дооснащення комплексу лазерним далекоміром. Можлива організація автоматичного спостереження всієї верхньої напівсфери для організації захисного куполу. Комплекс також може видавати інформацію для автоматичного наведення на виявлений об’єкт.</w:t>
            </w:r>
          </w:p>
          <w:p w14:paraId="3D8440AF" w14:textId="77777777" w:rsidR="001E4FC9" w:rsidRPr="001E4FC9" w:rsidRDefault="001E4FC9" w:rsidP="001E4FC9">
            <w:pPr>
              <w:ind w:left="176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14:paraId="26A9A9DD" w14:textId="20619434" w:rsidR="001E4FC9" w:rsidRPr="001E4FC9" w:rsidRDefault="00DC3D6E" w:rsidP="001E4FC9">
            <w:pPr>
              <w:ind w:left="176"/>
              <w:rPr>
                <w:sz w:val="24"/>
                <w:szCs w:val="24"/>
                <w:lang w:val="ru-RU"/>
              </w:rPr>
            </w:pP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КО</w:t>
            </w: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НТАКТНА</w:t>
            </w:r>
            <w:r w:rsidRPr="001E4FC9">
              <w:rPr>
                <w:b/>
                <w:color w:val="4BACC6" w:themeColor="accent5"/>
                <w:sz w:val="56"/>
                <w:szCs w:val="56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ІНФ</w:t>
            </w:r>
            <w:r w:rsidR="001E4FC9"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</w:t>
            </w:r>
            <w:r w:rsidRPr="001E4FC9">
              <w:rPr>
                <w:b/>
                <w:color w:val="0070C0"/>
                <w:sz w:val="32"/>
                <w:szCs w:val="32"/>
                <w:lang w:val="uk-UA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РМАЦІЯ</w:t>
            </w:r>
            <w:r w:rsidR="001E4FC9" w:rsidRPr="001E4FC9">
              <w:rPr>
                <w:sz w:val="24"/>
                <w:szCs w:val="24"/>
                <w:lang w:val="ru-RU"/>
              </w:rPr>
              <w:t xml:space="preserve"> </w:t>
            </w:r>
          </w:p>
          <w:p w14:paraId="52985DF9" w14:textId="221EEE64" w:rsidR="001E4FC9" w:rsidRPr="001E4FC9" w:rsidRDefault="001E4FC9" w:rsidP="001E4FC9">
            <w:pPr>
              <w:ind w:left="176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1E4FC9">
              <w:rPr>
                <w:rFonts w:cs="Times New Roman"/>
                <w:sz w:val="30"/>
                <w:szCs w:val="30"/>
                <w:lang w:val="ru-RU"/>
              </w:rPr>
              <w:t>Валентин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Георгійович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Колобродов</w:t>
            </w:r>
            <w:r w:rsidR="00311BBD">
              <w:rPr>
                <w:rFonts w:cs="Times New Roman"/>
                <w:sz w:val="30"/>
                <w:szCs w:val="30"/>
                <w:lang w:val="uk-UA"/>
              </w:rPr>
              <w:t>.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Т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ел.: 204-85-00, E-mail: thermo@ukr.net</w:t>
            </w:r>
          </w:p>
          <w:p w14:paraId="0BE4195B" w14:textId="17AC27C1" w:rsidR="007B1137" w:rsidRPr="008A56D4" w:rsidRDefault="001E4FC9" w:rsidP="001E4FC9">
            <w:pPr>
              <w:ind w:left="176"/>
              <w:jc w:val="both"/>
              <w:rPr>
                <w:sz w:val="20"/>
                <w:szCs w:val="20"/>
                <w:lang w:val="ru-RU"/>
              </w:rPr>
            </w:pP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Володимир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Іванович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Микитенко</w:t>
            </w:r>
            <w:r w:rsidR="00311BBD">
              <w:rPr>
                <w:rFonts w:cs="Times New Roman"/>
                <w:sz w:val="30"/>
                <w:szCs w:val="30"/>
                <w:lang w:val="ru-RU"/>
              </w:rPr>
              <w:t>.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Тел.:  204-84-46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,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E-mail: v.m</w:t>
            </w:r>
            <w:r w:rsidRPr="001E4FC9">
              <w:rPr>
                <w:rFonts w:cs="Times New Roman"/>
                <w:sz w:val="30"/>
                <w:szCs w:val="30"/>
              </w:rPr>
              <w:t>ykyt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@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Pr="001E4FC9">
              <w:rPr>
                <w:rFonts w:cs="Times New Roman"/>
                <w:sz w:val="30"/>
                <w:szCs w:val="30"/>
                <w:lang w:val="ru-RU"/>
              </w:rPr>
              <w:t>ukr.net</w:t>
            </w:r>
          </w:p>
        </w:tc>
      </w:tr>
    </w:tbl>
    <w:p w14:paraId="3ED6B7BC" w14:textId="77777777" w:rsidR="000045B8" w:rsidRPr="000045B8" w:rsidRDefault="000045B8" w:rsidP="001E4FC9">
      <w:pPr>
        <w:rPr>
          <w:sz w:val="24"/>
          <w:szCs w:val="24"/>
          <w:lang w:val="ru-RU"/>
        </w:rPr>
      </w:pPr>
    </w:p>
    <w:sectPr w:rsidR="000045B8" w:rsidRPr="000045B8" w:rsidSect="00C0365C">
      <w:type w:val="continuous"/>
      <w:pgSz w:w="11910" w:h="16840"/>
      <w:pgMar w:top="567" w:right="567" w:bottom="45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B0"/>
    <w:rsid w:val="000045B8"/>
    <w:rsid w:val="0004757B"/>
    <w:rsid w:val="00075BEF"/>
    <w:rsid w:val="000B4039"/>
    <w:rsid w:val="00102878"/>
    <w:rsid w:val="00181978"/>
    <w:rsid w:val="001E4FC9"/>
    <w:rsid w:val="00311BBD"/>
    <w:rsid w:val="003B59BA"/>
    <w:rsid w:val="00446801"/>
    <w:rsid w:val="004619B0"/>
    <w:rsid w:val="00551197"/>
    <w:rsid w:val="00556624"/>
    <w:rsid w:val="00577E40"/>
    <w:rsid w:val="006A3040"/>
    <w:rsid w:val="006C3260"/>
    <w:rsid w:val="007A018F"/>
    <w:rsid w:val="007B1137"/>
    <w:rsid w:val="008A56D4"/>
    <w:rsid w:val="009467D4"/>
    <w:rsid w:val="009C542A"/>
    <w:rsid w:val="00A02AE1"/>
    <w:rsid w:val="00A0774A"/>
    <w:rsid w:val="00A902CB"/>
    <w:rsid w:val="00AB0DD4"/>
    <w:rsid w:val="00AD3B58"/>
    <w:rsid w:val="00C0365C"/>
    <w:rsid w:val="00C62AB1"/>
    <w:rsid w:val="00C91C38"/>
    <w:rsid w:val="00D34E1A"/>
    <w:rsid w:val="00D50B3E"/>
    <w:rsid w:val="00D76684"/>
    <w:rsid w:val="00DA6FBA"/>
    <w:rsid w:val="00DC3D6E"/>
    <w:rsid w:val="00DE2731"/>
    <w:rsid w:val="00E3721C"/>
    <w:rsid w:val="00E50E78"/>
    <w:rsid w:val="00E90B58"/>
    <w:rsid w:val="00FD2C2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30F8"/>
  <w15:docId w15:val="{1363E561-E027-4662-83F3-52FC8CB0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01"/>
      <w:outlineLvl w:val="0"/>
    </w:pPr>
    <w:rPr>
      <w:rFonts w:ascii="Calibri" w:eastAsia="Calibri" w:hAnsi="Calibri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669"/>
    </w:pPr>
    <w:rPr>
      <w:rFonts w:ascii="Calibri" w:eastAsia="Calibri" w:hAnsi="Calibri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5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45B8"/>
    <w:rPr>
      <w:color w:val="0000FF" w:themeColor="hyperlink"/>
      <w:u w:val="single"/>
    </w:rPr>
  </w:style>
  <w:style w:type="paragraph" w:styleId="a7">
    <w:name w:val="Plain Text"/>
    <w:basedOn w:val="a"/>
    <w:link w:val="a8"/>
    <w:rsid w:val="001E4FC9"/>
    <w:pPr>
      <w:widowControl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1E4FC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Strucinsky</dc:creator>
  <cp:lastModifiedBy>VIM</cp:lastModifiedBy>
  <cp:revision>3</cp:revision>
  <dcterms:created xsi:type="dcterms:W3CDTF">2021-08-09T13:46:00Z</dcterms:created>
  <dcterms:modified xsi:type="dcterms:W3CDTF">2021-08-09T13:46:00Z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2021-08-01T00:00:00Z</vt:filetime>
  </property>
</Properties>
</file>